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ПОСТАНОВЛЕНИЕ № 195  ОТ 8 СЕПТЕМВРИ 2017 Г.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приемане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на</w:t>
      </w:r>
      <w:proofErr w:type="gram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Тарифа</w:t>
      </w:r>
      <w:proofErr w:type="gram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таксите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които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събират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системата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предучилищното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училищното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образование</w:t>
      </w:r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МИНИСТЕРСКИЯТ СЪВЕТ</w:t>
      </w:r>
    </w:p>
    <w:p w:rsidR="00DE2236" w:rsidRPr="00DE2236" w:rsidRDefault="00DE2236" w:rsidP="00DE2236">
      <w:pPr>
        <w:spacing w:after="57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aps/>
          <w:color w:val="000000"/>
          <w:spacing w:val="38"/>
          <w:sz w:val="17"/>
          <w:szCs w:val="17"/>
          <w:lang w:eastAsia="ru-RU"/>
        </w:rPr>
        <w:t>ПОСТАНОВИ: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Член единствен. 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Приема Тарифа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таксите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които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събират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системата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предучилищното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училищното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образование.</w:t>
      </w:r>
    </w:p>
    <w:p w:rsidR="00DE2236" w:rsidRPr="00DE2236" w:rsidRDefault="00DE2236" w:rsidP="00DE2236">
      <w:pPr>
        <w:spacing w:after="57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Заключителни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разпоредби</w:t>
      </w:r>
      <w:proofErr w:type="spell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§ 1. </w:t>
      </w:r>
      <w:proofErr w:type="spellStart"/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Отменя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Постановление № 103 от 2003 г.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Министерския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съвет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одобряване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Тарифа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таксите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които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събират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от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Министерството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образованието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науката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., ДВ,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бр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46 от 2003 г.;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изм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и доп.,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бр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79 от 2009 г.,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бр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48 и 62 от 2013 г.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бр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 58  от 2016 г.).</w:t>
      </w:r>
      <w:proofErr w:type="gram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§ 2. 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Министърът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образованието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науката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дава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указания по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прилагането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тарифата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§ 3. 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Постановлението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влиза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сила от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деня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обнародването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му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„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Държавен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вестник“.</w:t>
      </w:r>
    </w:p>
    <w:p w:rsidR="00DE2236" w:rsidRPr="00DE2236" w:rsidRDefault="00DE2236" w:rsidP="00DE2236">
      <w:pPr>
        <w:spacing w:after="0" w:line="220" w:lineRule="atLeast"/>
        <w:jc w:val="right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Министър-председател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  </w:t>
      </w: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Бойко Борисов</w:t>
      </w:r>
    </w:p>
    <w:p w:rsidR="00DE2236" w:rsidRPr="00DE2236" w:rsidRDefault="00DE2236" w:rsidP="00DE2236">
      <w:pPr>
        <w:spacing w:after="0" w:line="220" w:lineRule="atLeast"/>
        <w:jc w:val="right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главен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секретар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Министерския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съвет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 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Росен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Кожухаров</w:t>
      </w:r>
      <w:proofErr w:type="spellEnd"/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ТАРИФА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таксите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които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събират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системата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предучилищното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училищното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образование</w:t>
      </w:r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Раздел I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proofErr w:type="gram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Такси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вписване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частна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детска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градина или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частно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училище или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промяна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частна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детска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градина или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частно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училище в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Регистъра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институциите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системата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предучилищното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училищното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образование</w:t>
      </w:r>
      <w:proofErr w:type="gram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Чл. 1. 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(1)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разглеждане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заявление и оценка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съответствие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нормативно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установените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изисквания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издаване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разрешение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вписване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детска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градина или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промяна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детска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градина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150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(2)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разглеждане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заявление и оценка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съответствие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нормативно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установените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изисквания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издаване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разрешение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вписване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 или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промяна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следва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</w:t>
      </w:r>
      <w:proofErr w:type="gram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1.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начално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основно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училище, гимназия,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профилирана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гимназия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средно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 – 260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2.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гимназия,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обединено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спортно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училище, училище по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културата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училище по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изкуствата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– 375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Чл. 2. 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издаване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удостоверение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вписване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детска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градина или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 или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вписване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промяна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детска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градина или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50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  <w:proofErr w:type="gramEnd"/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Раздел II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Такси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вписване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частен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професионален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колеж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или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промяна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частен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професионален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колеж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Регистъра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на</w:t>
      </w:r>
      <w:proofErr w:type="gram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професионалните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колежи</w:t>
      </w:r>
      <w:proofErr w:type="spell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Чл. 3. 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разглеждане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заявление и оценка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съответствие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нормативно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установените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изисквания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издаване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разрешение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вписване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e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колеж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или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промяна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частeн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колеж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375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Чл. 4. 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издаване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удостоверение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вписване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колеж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или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вписване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промяна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частен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колеж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50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Раздел III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Такси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оценяване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познавателна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книжка, учебник или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учебен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комплект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предучилищното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училищното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образование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Чл. 5. 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(1)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разглеждане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заявление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одобряване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книжка, учебник или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учебен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комплект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10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(2)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извършване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оценка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книжка или на учебник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съответствие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държавния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образователен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стандарт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познавателните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книжки,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учебниците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учебните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помагала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600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(3)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извършване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оценка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учебен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комплект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съответствие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държавния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образователен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стандарт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познавателните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книжки,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учебниците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учебните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помагала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975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Раздел IV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Такси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признаване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документ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завършен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етап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училищно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обучение, </w:t>
      </w:r>
      <w:proofErr w:type="spellStart"/>
      <w:proofErr w:type="gram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степен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</w:t>
      </w:r>
      <w:proofErr w:type="gram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образование 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степен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професионална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квалификация,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издаден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от училища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чужди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държави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, и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издаване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удостоверение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Чл. 6. 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(1)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признаване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документ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завършен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етап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училищно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обучение,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издаден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от училища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чужди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държави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25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(2)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признаване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документ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завършена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степен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образование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квалификация,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издаден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от училища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чужди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държави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и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издаване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удостоверение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35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(3) Такси по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този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раздел не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събират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когато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лицата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които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искат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признаване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задължителна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училищна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възраст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Раздел V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Такси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валидиране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компетентности,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придобити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чрез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неформално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обучение 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информално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учене</w:t>
      </w:r>
      <w:proofErr w:type="spell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proofErr w:type="gramStart"/>
      <w:r w:rsidRPr="00DE2236">
        <w:rPr>
          <w:rFonts w:ascii="Verdana" w:eastAsia="Times New Roman" w:hAnsi="Verdana" w:cs="Times New Roman"/>
          <w:b/>
          <w:bCs/>
          <w:color w:val="000000"/>
          <w:spacing w:val="-3"/>
          <w:sz w:val="17"/>
          <w:szCs w:val="17"/>
          <w:lang w:eastAsia="ru-RU"/>
        </w:rPr>
        <w:lastRenderedPageBreak/>
        <w:t>Чл. 7. </w:t>
      </w:r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(1) За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провеждане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изпит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за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валидиране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на компетентности,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придобити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чрез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неформално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обучение и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информално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учене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, с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изключение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необходимите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компетентности за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придобиване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професионална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квалификация, се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такса 30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. за един </w:t>
      </w:r>
      <w:proofErr w:type="spellStart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>учебен</w:t>
      </w:r>
      <w:proofErr w:type="spellEnd"/>
      <w:r w:rsidRPr="00DE2236">
        <w:rPr>
          <w:rFonts w:ascii="Verdana" w:eastAsia="Times New Roman" w:hAnsi="Verdana" w:cs="Times New Roman"/>
          <w:color w:val="000000"/>
          <w:spacing w:val="-3"/>
          <w:sz w:val="17"/>
          <w:szCs w:val="17"/>
          <w:lang w:eastAsia="ru-RU"/>
        </w:rPr>
        <w:t xml:space="preserve"> предмет.</w:t>
      </w:r>
      <w:proofErr w:type="gram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(2)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издаване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съответното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удостоверение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валидиране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компетентности,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придобити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чрез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неформално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обучение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информално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учене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10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Раздел VI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Такси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разглеждане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заявления 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извършване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оценка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програмите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за обучение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повишаване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квалификацията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педагогическите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специалисти</w:t>
      </w:r>
      <w:proofErr w:type="spell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Чл. 8. 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(1)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разглеждане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заявление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одобряване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програма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за обучение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повишаване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квалификацията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педагогическите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специалисти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10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(2)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извършване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оценка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програма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за обучение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повишаване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квалификацията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педагогическите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специалисти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или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промяна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съдържанието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одобрена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програма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100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(3)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извършване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оценка на одобрена от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министъра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образованието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науката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програма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за обучение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повишаване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квалификацията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педагогическите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специалисти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направена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промяна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списъка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обучителите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50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Раздел VII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Такси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провеждане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курсове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ограмотяване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курсове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придобиване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 компетентности за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завършен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прогимназиален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етап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или </w:t>
      </w:r>
      <w:proofErr w:type="gram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</w:t>
      </w:r>
      <w:proofErr w:type="gram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завършени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класове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от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прогимназиален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етап</w:t>
      </w:r>
      <w:proofErr w:type="spell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Чл. 9. 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(1) За обучение в курс по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ограмотяване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300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(2) За обучение в курс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придобиване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компетентности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завършен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прогимназиален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етап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включващ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V, VI и VII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клас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540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(3) За обучение в курс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придобиване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компетентности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завършен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клас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от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прогимназиален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етап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180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Раздел VIII</w:t>
      </w:r>
    </w:p>
    <w:p w:rsidR="00DE2236" w:rsidRPr="00DE2236" w:rsidRDefault="00DE2236" w:rsidP="00DE2236">
      <w:pPr>
        <w:spacing w:after="113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Такси за обучение на </w:t>
      </w:r>
      <w:proofErr w:type="spellStart"/>
      <w:proofErr w:type="gram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граждани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</w:t>
      </w:r>
      <w:proofErr w:type="gram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трети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държави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над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задължителната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училищна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възраст</w:t>
      </w:r>
      <w:proofErr w:type="spell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Чл. 10.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(1) За обучение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дневна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форма на обучение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учебна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година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следва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1.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неспециализирано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училище, с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изключение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професионалните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гимназии – 1650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2.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гимназия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следните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области на образование: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а) „Транспорт“ – 2565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б) „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Селско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горско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рибно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стопанство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ветеринарна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медицина“ – 2458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в) „Физически науки, информатика, техника,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здравеопазване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опазване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околната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среда, производство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преработка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архитектура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строителство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“ – 2000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г) „Услуги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личността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“ – 1820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 „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Стопанско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управление и администрация“ и „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Социални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услуги“ – 1614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е)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Изкуства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– 2691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3.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спортно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училище – 2603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4. в училище по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културата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– 2661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5. в училища по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изкуствата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а)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направление „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Музикални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сценични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изкуства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“ – 3712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б) в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професионално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направление „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Изящни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приложни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изкуства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“ – 2805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(2) За обучение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във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форма на обучение, различна от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дневната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учебна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година се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събира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такса,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следва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1.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вечерна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форма на обучение и обучение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чрез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работа (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дуална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система на обучение) – 1377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2.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задочна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дистанционна форма на обучение – 924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3.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индивидуална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форма на обучение – 3070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4.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самостоятелна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форма на обучение – 373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.;</w:t>
      </w:r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5.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комбинирана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форма на обучение –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сборът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от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съответната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такса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дневна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форма на обучение, определена в 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ал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1, и добавка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комбинирана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форма – 862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лв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DE2236" w:rsidRPr="00DE2236" w:rsidRDefault="00DE2236" w:rsidP="00DE2236">
      <w:pPr>
        <w:spacing w:after="57" w:line="84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Заключителна</w:t>
      </w:r>
      <w:proofErr w:type="spellEnd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разпоредба</w:t>
      </w:r>
      <w:proofErr w:type="spellEnd"/>
    </w:p>
    <w:p w:rsidR="00DE2236" w:rsidRPr="00DE2236" w:rsidRDefault="00DE2236" w:rsidP="00DE2236">
      <w:pPr>
        <w:spacing w:after="0" w:line="84" w:lineRule="atLeast"/>
        <w:ind w:firstLine="283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Параграф единствен. 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Тарифата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се при</w:t>
      </w: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ема на основани</w:t>
      </w:r>
      <w:proofErr w:type="gram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</w:t>
      </w:r>
      <w:proofErr w:type="gram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чл. 300, ал. 1 от Закона за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предучилищното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училищното</w:t>
      </w:r>
      <w:proofErr w:type="spellEnd"/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образование.</w:t>
      </w:r>
    </w:p>
    <w:p w:rsidR="00DE2236" w:rsidRPr="00DE2236" w:rsidRDefault="00DE2236" w:rsidP="00DE2236">
      <w:pPr>
        <w:spacing w:after="0" w:line="84" w:lineRule="atLeast"/>
        <w:jc w:val="both"/>
        <w:textAlignment w:val="center"/>
        <w:rPr>
          <w:rFonts w:ascii="Verdana" w:eastAsia="Times New Roman" w:hAnsi="Verdana" w:cs="Times New Roman"/>
          <w:color w:val="000000"/>
          <w:sz w:val="8"/>
          <w:szCs w:val="8"/>
          <w:lang w:eastAsia="ru-RU"/>
        </w:rPr>
      </w:pPr>
      <w:r w:rsidRPr="00DE223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6727</w:t>
      </w:r>
    </w:p>
    <w:p w:rsidR="00895562" w:rsidRDefault="00895562"/>
    <w:sectPr w:rsidR="00895562" w:rsidSect="0089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DE2236"/>
    <w:rsid w:val="00895562"/>
    <w:rsid w:val="00DE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803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50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089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06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2957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26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204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40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93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08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32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42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98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33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685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58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9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78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194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69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86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95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00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75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2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29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Phantom</dc:creator>
  <cp:lastModifiedBy>Phantom</cp:lastModifiedBy>
  <cp:revision>1</cp:revision>
  <dcterms:created xsi:type="dcterms:W3CDTF">2018-07-12T13:47:00Z</dcterms:created>
  <dcterms:modified xsi:type="dcterms:W3CDTF">2018-07-12T13:47:00Z</dcterms:modified>
</cp:coreProperties>
</file>